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3B" w:rsidRDefault="009D208E" w:rsidP="00C42C3B">
      <w:pPr>
        <w:jc w:val="center"/>
        <w:rPr>
          <w:lang w:val="bg-BG"/>
        </w:rPr>
      </w:pPr>
      <w:r>
        <w:rPr>
          <w:lang w:val="bg-BG"/>
        </w:rPr>
        <w:t>Приложение към Раздел 15.1</w:t>
      </w:r>
    </w:p>
    <w:p w:rsidR="00C302DC" w:rsidRPr="009D208E" w:rsidRDefault="009D208E" w:rsidP="00C42C3B">
      <w:pPr>
        <w:jc w:val="center"/>
        <w:rPr>
          <w:lang w:val="bg-BG"/>
        </w:rPr>
      </w:pPr>
      <w:r>
        <w:rPr>
          <w:lang w:val="bg-BG"/>
        </w:rPr>
        <w:t>Отговорности на Управляващия орган</w:t>
      </w:r>
    </w:p>
    <w:p w:rsidR="009D208E" w:rsidRDefault="009D208E" w:rsidP="009D208E">
      <w:pPr>
        <w:spacing w:before="240" w:after="240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Управляващият орган е отговорен за ефикасното, ефективното и коректно управление и прилагане на ПРСР и по-специално УО следва да осигури:</w:t>
      </w:r>
    </w:p>
    <w:p w:rsidR="009D208E" w:rsidRDefault="009D208E" w:rsidP="009D208E">
      <w:pPr>
        <w:numPr>
          <w:ilvl w:val="0"/>
          <w:numId w:val="1"/>
        </w:numPr>
        <w:tabs>
          <w:tab w:val="left" w:pos="720"/>
        </w:tabs>
        <w:spacing w:before="240" w:after="0"/>
        <w:ind w:hanging="322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Наличието и функционирането на подходяща електронна система за събиране и обработка на информация за наблюдението, оценката и изпълнението на ПРСР;</w:t>
      </w:r>
      <w:r>
        <w:rPr>
          <w:szCs w:val="24"/>
          <w:lang w:val="bg-BG" w:eastAsia="bg-BG" w:bidi="ar-SA"/>
        </w:rPr>
        <w:t xml:space="preserve"> ДФЗ се задължава да създаде система за мониторинг, която да следи всички индикатори от Индикаторния план и всички индикатори за мониторинг, съгласно Указанията за мониторинг на ЕК. Достъп до системата за мониторинг ще бъде предоставен на УО.</w:t>
      </w:r>
    </w:p>
    <w:p w:rsidR="009D208E" w:rsidRDefault="009D208E" w:rsidP="009D208E">
      <w:pPr>
        <w:numPr>
          <w:ilvl w:val="0"/>
          <w:numId w:val="1"/>
        </w:numPr>
        <w:tabs>
          <w:tab w:val="left" w:pos="720"/>
        </w:tabs>
        <w:spacing w:before="0" w:after="0"/>
        <w:ind w:hanging="322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П</w:t>
      </w:r>
      <w:r>
        <w:rPr>
          <w:szCs w:val="24"/>
          <w:lang w:val="bg-BG" w:eastAsia="bg-BG" w:bidi="ar-SA"/>
        </w:rPr>
        <w:t>редоставяне</w:t>
      </w:r>
      <w:bookmarkStart w:id="0" w:name="_GoBack"/>
      <w:bookmarkEnd w:id="0"/>
      <w:r>
        <w:rPr>
          <w:szCs w:val="24"/>
          <w:lang w:val="bg-BG" w:eastAsia="bg-BG" w:bidi="ar-SA"/>
        </w:rPr>
        <w:t xml:space="preserve"> на Комисията на съответните данни за резултатите и финансовите показатели за избраните за финансиране дейности</w:t>
      </w:r>
      <w:r>
        <w:rPr>
          <w:szCs w:val="24"/>
          <w:lang w:val="bg-BG" w:eastAsia="bg-BG" w:bidi="ar-SA"/>
        </w:rPr>
        <w:t>, съгласно чл. 66, ал. 1, т. б</w:t>
      </w:r>
      <w:r>
        <w:rPr>
          <w:szCs w:val="24"/>
          <w:lang w:val="bg-BG" w:eastAsia="bg-BG" w:bidi="ar-SA"/>
        </w:rPr>
        <w:t>;</w:t>
      </w:r>
    </w:p>
    <w:p w:rsidR="009D208E" w:rsidRPr="000106E5" w:rsidRDefault="009D208E" w:rsidP="009D208E">
      <w:pPr>
        <w:numPr>
          <w:ilvl w:val="0"/>
          <w:numId w:val="1"/>
        </w:numPr>
        <w:tabs>
          <w:tab w:val="left" w:pos="720"/>
        </w:tabs>
        <w:spacing w:before="0" w:after="0"/>
        <w:ind w:hanging="322"/>
        <w:rPr>
          <w:szCs w:val="24"/>
          <w:lang w:val="bg-BG" w:eastAsia="bg-BG" w:bidi="ar-SA"/>
        </w:rPr>
      </w:pPr>
      <w:r w:rsidRPr="000106E5">
        <w:rPr>
          <w:szCs w:val="24"/>
          <w:lang w:val="bg-BG" w:eastAsia="bg-BG" w:bidi="ar-SA"/>
        </w:rPr>
        <w:t>Гарантира, че проектите на тематичната подпрограма се определят отделно за целите на мониторинг и оценката, съгл. чл. 67 на Регламент (ЕС) №1305/2013;</w:t>
      </w:r>
      <w:r w:rsidRPr="0089580A">
        <w:rPr>
          <w:szCs w:val="24"/>
          <w:lang w:val="bg-BG" w:eastAsia="bg-BG" w:bidi="ar-SA"/>
        </w:rPr>
        <w:t xml:space="preserve"> </w:t>
      </w:r>
    </w:p>
    <w:p w:rsidR="009D208E" w:rsidRDefault="009D208E" w:rsidP="009D208E">
      <w:pPr>
        <w:numPr>
          <w:ilvl w:val="0"/>
          <w:numId w:val="1"/>
        </w:numPr>
        <w:tabs>
          <w:tab w:val="left" w:pos="720"/>
        </w:tabs>
        <w:spacing w:before="0" w:after="0"/>
        <w:ind w:hanging="322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Бенефициентите и другите органи по изпълнение на проектите са запознати със своите задължения и отговорности, както относно поддържането на отделна счетоводна система или записи за всички финансови операции по ПРСР, така и  с изискванията за предоставяне на данни на УО;</w:t>
      </w:r>
      <w:r>
        <w:rPr>
          <w:szCs w:val="24"/>
          <w:lang w:val="bg-BG" w:eastAsia="bg-BG" w:bidi="ar-SA"/>
        </w:rPr>
        <w:t xml:space="preserve"> Първото изискване ще бъде включено като задължение в договорите на бенефициентите. Второто изискване ще се следи чрез вменено задължение в договорите на бенефициентите за попълване на предварително определени форми за мониторинг. Формите за мониторинг ще се попълват от бенефициентите към момента на сключване на договор и към момента на подаване на заявка за междинно и окончателно плащане.</w:t>
      </w:r>
    </w:p>
    <w:p w:rsidR="009D208E" w:rsidRDefault="009D208E" w:rsidP="009D208E">
      <w:pPr>
        <w:numPr>
          <w:ilvl w:val="0"/>
          <w:numId w:val="1"/>
        </w:numPr>
        <w:tabs>
          <w:tab w:val="left" w:pos="720"/>
        </w:tabs>
        <w:spacing w:before="0" w:after="0"/>
        <w:ind w:hanging="322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Изготвянето и изпълнението на Плана за оценка, във връзка с чл. 56 на Регламент (EC) № 1303/2013 г. и гарантиране, че Оценките на ПРСР, във връзка с чл. 55 и чл.57 на Регламент (EC) № 1303/2013</w:t>
      </w:r>
      <w:r>
        <w:rPr>
          <w:szCs w:val="24"/>
          <w:lang w:val="bg-BG" w:eastAsia="bg-BG" w:bidi="ar-SA"/>
        </w:rPr>
        <w:t>,</w:t>
      </w:r>
      <w:r>
        <w:rPr>
          <w:szCs w:val="24"/>
          <w:lang w:val="bg-BG" w:eastAsia="bg-BG" w:bidi="ar-SA"/>
        </w:rPr>
        <w:t xml:space="preserve"> са изготвени в необходимите срокове и са в съответствие със системата за мониторинг и оценка;</w:t>
      </w:r>
      <w:r>
        <w:rPr>
          <w:szCs w:val="24"/>
          <w:lang w:val="bg-BG" w:eastAsia="bg-BG" w:bidi="ar-SA"/>
        </w:rPr>
        <w:t xml:space="preserve"> </w:t>
      </w:r>
    </w:p>
    <w:p w:rsidR="009D208E" w:rsidRDefault="009D208E" w:rsidP="009D208E">
      <w:pPr>
        <w:numPr>
          <w:ilvl w:val="0"/>
          <w:numId w:val="1"/>
        </w:numPr>
        <w:tabs>
          <w:tab w:val="left" w:pos="720"/>
        </w:tabs>
        <w:spacing w:before="0" w:after="0"/>
        <w:ind w:hanging="322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Необходимата информация за Разплащателната агенция (РА), с оглед обезпечаване на ефективното изпълнение на Програмата;</w:t>
      </w:r>
    </w:p>
    <w:p w:rsidR="009D208E" w:rsidRDefault="009D208E" w:rsidP="009D208E">
      <w:pPr>
        <w:numPr>
          <w:ilvl w:val="0"/>
          <w:numId w:val="1"/>
        </w:numPr>
        <w:tabs>
          <w:tab w:val="left" w:pos="720"/>
        </w:tabs>
        <w:spacing w:before="0" w:after="240"/>
        <w:ind w:hanging="322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Комуникационен план, включващ популяризиране и информация относно ПРСР; информационни дейности за запознаване с възможностите, предоставяни от Програмата и правилата за получаване на финансиране, насочени към потенциалните бенефициенти, партньорските и заинтересовани организации и широката общественост.</w:t>
      </w:r>
    </w:p>
    <w:p w:rsidR="009D208E" w:rsidRDefault="009D208E" w:rsidP="009D208E">
      <w:pPr>
        <w:spacing w:before="240" w:after="240"/>
        <w:rPr>
          <w:szCs w:val="24"/>
          <w:lang w:val="bg-BG" w:eastAsia="bg-BG" w:bidi="ar-SA"/>
        </w:rPr>
      </w:pPr>
      <w:r>
        <w:rPr>
          <w:szCs w:val="24"/>
          <w:lang w:val="bg-BG" w:eastAsia="bg-BG" w:bidi="ar-SA"/>
        </w:rPr>
        <w:t>УО е отговорен за организирането и провеждането на заседанията на Комитета по наблюдение на Програмата и подготвя необходимите за работата му анализи и доклади както и за изготвянето на годишните доклади за напредъка по прилагане на Програмата, които след одобрение от Комитета по наблюдение се предоставят на ЕК.</w:t>
      </w:r>
    </w:p>
    <w:p w:rsidR="009D208E" w:rsidRPr="009D208E" w:rsidRDefault="009D208E">
      <w:pPr>
        <w:rPr>
          <w:lang w:val="en-US"/>
        </w:rPr>
      </w:pPr>
    </w:p>
    <w:sectPr w:rsidR="009D208E" w:rsidRPr="009D2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0718"/>
    <w:multiLevelType w:val="hybridMultilevel"/>
    <w:tmpl w:val="7223071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08E"/>
    <w:rsid w:val="009D208E"/>
    <w:rsid w:val="00C302DC"/>
    <w:rsid w:val="00C4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08E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08E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7C1D-A87A-4AC2-BABE-5C24FB18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Kovacheva</dc:creator>
  <cp:lastModifiedBy>Christina Kovacheva</cp:lastModifiedBy>
  <cp:revision>2</cp:revision>
  <dcterms:created xsi:type="dcterms:W3CDTF">2015-02-06T13:36:00Z</dcterms:created>
  <dcterms:modified xsi:type="dcterms:W3CDTF">2015-02-06T13:43:00Z</dcterms:modified>
</cp:coreProperties>
</file>